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阳泉市市场监督管理局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阳泉市市场监督管理局高度重视政府信息公开工作，坚持以习近平新时代中国特色社会主义思想为指导，围绕服务发展的第一要务，认真落实《中华人民共和国政府信息公开条例》精神及市委、市政府相关要求，不断加强在市场综合监督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公平竞争执法</w:t>
      </w:r>
      <w:r>
        <w:rPr>
          <w:rFonts w:hint="eastAsia" w:ascii="仿宋" w:hAnsi="仿宋" w:eastAsia="仿宋" w:cs="仿宋"/>
          <w:sz w:val="32"/>
          <w:szCs w:val="32"/>
        </w:rPr>
        <w:t>、宏观质量管理、产品质量安全监督管理、特种设备安全监督管理、食品、药品、医疗器械和化妆品安全监督管理、计量、标准化、认证认可、检验检测、知识产权、非公经济组织党建等方面工作的宣传力度。通过信息公开工作，增进了与群众的沟通交流，营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和谐发展的新氛围。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主动公开方面：为确保政府信息公开工作高质量、高标准开展，根据上级有关通知要求，以权责清单为依托，对照相关规章制度，全面梳理我局依法行使的行政权力和依法承担的公共服务职责，按照政府信息公开标准化规范化的要求，明确相关责任科室和人员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结合实际制定《阳泉市食品药品监管领域基层政务公开标准目录》、《阳泉市市场监督管理局政务公开标准目录》，进一步推进政府信息公开工作的常态化、制度化、规范化。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我局主动公开通知公告170篇、关联发布公示通告67篇，其中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行政处罚案件公示58篇；文件通知、文件发布以及政策解读关联49篇；食品药品安全领域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109篇；统计数据（全市消费投诉举报数据分析）12篇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（二）依申请公开方面：我局编制了《阳泉市市场监督管理局政府信息依申请公开办法》，明确了依申请公开的流程、职责等相关内容。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2021年我局收到公开政府信息申请0项,未发生投诉、行政复议和行政诉讼案件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政府信息管理方面：我局制定了《阳泉市市场监督管理局政府信息公开办法》《阳泉市市场监督管理局政府信息公开指南》《阳泉市市场监督管理局政府信息依申请公开办法》等相关制度，完善了单位内部的信息报送机制和量化考核机制，做到及时调整栏目、更新网站信息，及时规范开展政府信息公开工作，加大开展政府信息公开工作的力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</w:t>
      </w:r>
      <w:r>
        <w:rPr>
          <w:rFonts w:hint="eastAsia" w:ascii="仿宋" w:hAnsi="仿宋" w:eastAsia="仿宋" w:cs="仿宋"/>
          <w:sz w:val="32"/>
          <w:szCs w:val="32"/>
        </w:rPr>
        <w:t>公开和政府信息化工作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持续推进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我局政府信息公开工作运行正常。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（四）平台建设方面：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加强硬件管理，确保信息公开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工作的正常开展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加强人员管理，对照工作要求保质保量完成信息公开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三是完善门户网站建设，及时对网站进行维护和更新，确保政府信息公开渠道畅通。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五）监督保障方面：局党组高度重视政府信息公开监督保障工作，将政府信息公开列为重要考核事项，并多次在各类会议上多次强调政府信息公开工作的重要性，要求局属各单位、机关各科室要加强协同配合，进一步开展网站信息内容建设，形成工作合力，建立长效机制，把解决实际问题作为单位政府信息公开的立足点。同时我局认真开展政府信息公开的宣传教育工作，组织单位职工认真学习相关制度文件及保密规定，组织负责政府信息公开的工作人员参加各类培训、教育活动，规范信息报送工作，制定了《阳泉市市场监督管理局网站管理制度》，明确了社会评议处理流程及相关人员的具体责任追究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1924"/>
        <w:gridCol w:w="1304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3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3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3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82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1731"/>
        <w:gridCol w:w="719"/>
        <w:gridCol w:w="673"/>
        <w:gridCol w:w="673"/>
        <w:gridCol w:w="714"/>
        <w:gridCol w:w="844"/>
        <w:gridCol w:w="642"/>
        <w:gridCol w:w="6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8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6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存在问题：一是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信息公开力度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进一步加大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信息公开的内容还不够全面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三是信息公开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形式还不够新颖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（二）改进情况：进一步完善信息公开制度，强化责任意识、大局意识、服务意识，确保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信息公开工作及时、准确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，积极探索政府信息公开新领域，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进一步拓展政府信息公开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阳泉市市场监督管理局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2022年1月25日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9DF4C22-5FDD-4C94-84CA-D9C62562BE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A2DBB4-80DE-497D-A74B-5DC9110AC1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0082F"/>
    <w:rsid w:val="08524EA3"/>
    <w:rsid w:val="3C7E29EF"/>
    <w:rsid w:val="4AF51F1C"/>
    <w:rsid w:val="4FB0082F"/>
    <w:rsid w:val="5FFE31DA"/>
    <w:rsid w:val="6562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2022-01-24T08:04:00Z</dcterms:created>
  <dc:creator>再見時光機</dc:creator>
  <cp:lastModifiedBy>再見時光機</cp:lastModifiedBy>
  <cp:lastPrinted>2022-01-30T02:05:00Z</cp:lastPrinted>
  <dcterms:modified xsi:type="dcterms:W3CDTF">2022-01-30T02:48:10Z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6D38FF0EA5C94004A5F00F72867BD4FE</vt:lpwstr>
  </property>
</Properties>
</file>